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04DE4F75" w:rsidR="00D309CC" w:rsidRDefault="00D309CC" w:rsidP="00D46431">
      <w:pPr>
        <w:pStyle w:val="CH"/>
      </w:pPr>
      <w:bookmarkStart w:id="0" w:name="historyclause"/>
      <w:r w:rsidRPr="003C564B">
        <w:t>3GPP RAN</w:t>
      </w:r>
      <w:r w:rsidR="00CF20E3" w:rsidRPr="003C564B">
        <w:t xml:space="preserve"> </w:t>
      </w:r>
      <w:r w:rsidRPr="003C564B">
        <w:t>WG</w:t>
      </w:r>
      <w:r w:rsidR="003C564B" w:rsidRPr="003C564B">
        <w:t>4</w:t>
      </w:r>
      <w:r w:rsidRPr="003C564B">
        <w:t xml:space="preserve"> Meeting #</w:t>
      </w:r>
      <w:r w:rsidR="003C564B" w:rsidRPr="003C564B">
        <w:t>92</w:t>
      </w:r>
      <w:r>
        <w:tab/>
      </w:r>
      <w:r w:rsidR="00D46431">
        <w:tab/>
      </w:r>
      <w:r w:rsidRPr="00255AB7">
        <w:t>R</w:t>
      </w:r>
      <w:r w:rsidR="003C564B" w:rsidRPr="00255AB7">
        <w:t>4</w:t>
      </w:r>
      <w:r w:rsidRPr="00255AB7">
        <w:t>-</w:t>
      </w:r>
      <w:r w:rsidR="00D46431" w:rsidRPr="00255AB7">
        <w:t>19</w:t>
      </w:r>
      <w:r w:rsidR="00255AB7" w:rsidRPr="00255AB7">
        <w:t>08013</w:t>
      </w:r>
    </w:p>
    <w:p w14:paraId="50DC9730" w14:textId="1CDEFDC7" w:rsidR="00D309CC" w:rsidRPr="00FD166F" w:rsidRDefault="003C564B" w:rsidP="00D46431">
      <w:pPr>
        <w:pStyle w:val="CH"/>
        <w:tabs>
          <w:tab w:val="clear" w:pos="7920"/>
        </w:tabs>
        <w:rPr>
          <w:b w:val="0"/>
        </w:rPr>
      </w:pPr>
      <w:r w:rsidRPr="003C564B">
        <w:t>Ljubljana</w:t>
      </w:r>
      <w:r w:rsidR="00D309CC" w:rsidRPr="003C564B">
        <w:t xml:space="preserve">, </w:t>
      </w:r>
      <w:r w:rsidRPr="003C564B">
        <w:t>Slovenia</w:t>
      </w:r>
      <w:r w:rsidR="00D309CC" w:rsidRPr="003C564B">
        <w:t xml:space="preserve">, </w:t>
      </w:r>
      <w:r w:rsidRPr="003C564B">
        <w:t>26-30th August 2019</w:t>
      </w:r>
      <w:r w:rsidR="00D46431">
        <w:tab/>
      </w:r>
    </w:p>
    <w:p w14:paraId="39A0EE25" w14:textId="77777777" w:rsidR="00D309CC" w:rsidRDefault="00D309CC" w:rsidP="00D309CC">
      <w:pPr>
        <w:tabs>
          <w:tab w:val="left" w:pos="2160"/>
        </w:tabs>
        <w:rPr>
          <w:rFonts w:ascii="Arial" w:hAnsi="Arial" w:cs="Arial"/>
          <w:b/>
        </w:rPr>
      </w:pPr>
    </w:p>
    <w:p w14:paraId="6DDCE159" w14:textId="2ABE75CF" w:rsidR="00D309CC" w:rsidRPr="0008103A" w:rsidRDefault="00D309CC" w:rsidP="00D309CC">
      <w:pPr>
        <w:pStyle w:val="CH"/>
        <w:rPr>
          <w:b w:val="0"/>
        </w:rPr>
      </w:pPr>
      <w:r w:rsidRPr="0008103A">
        <w:t>Agenda item:</w:t>
      </w:r>
      <w:r>
        <w:tab/>
      </w:r>
      <w:r w:rsidR="00E010B7" w:rsidRPr="00E010B7">
        <w:t>9.13.6</w:t>
      </w:r>
    </w:p>
    <w:p w14:paraId="4DBE005A" w14:textId="77777777" w:rsidR="00D309CC" w:rsidRPr="0008103A" w:rsidRDefault="00D309CC" w:rsidP="00D309CC">
      <w:pPr>
        <w:pStyle w:val="CH"/>
        <w:rPr>
          <w:b w:val="0"/>
        </w:rPr>
      </w:pPr>
      <w:r>
        <w:t>Source:</w:t>
      </w:r>
      <w:r>
        <w:tab/>
        <w:t>Apple Inc.</w:t>
      </w:r>
    </w:p>
    <w:p w14:paraId="0D2061A1" w14:textId="482EE81E" w:rsidR="00D309CC" w:rsidRDefault="00D309CC" w:rsidP="008B1DF7">
      <w:pPr>
        <w:pStyle w:val="CH"/>
        <w:ind w:left="2250" w:hanging="2250"/>
      </w:pPr>
      <w:r w:rsidRPr="0008103A">
        <w:t>Title:</w:t>
      </w:r>
      <w:r w:rsidRPr="0008103A">
        <w:tab/>
      </w:r>
      <w:r w:rsidR="008B1DF7" w:rsidRPr="008B1DF7">
        <w:t>Non-simultaneous transmission for intra-band non-contiguous UL CA in FR2</w:t>
      </w:r>
    </w:p>
    <w:p w14:paraId="052B1E0C" w14:textId="121C3565" w:rsidR="00104BC6" w:rsidRDefault="00104BC6" w:rsidP="00D309CC">
      <w:pPr>
        <w:pStyle w:val="CH"/>
      </w:pPr>
      <w:r>
        <w:t>WI/SI:</w:t>
      </w:r>
      <w:r>
        <w:tab/>
      </w:r>
      <w:r w:rsidR="008B1DF7" w:rsidRPr="008B1DF7">
        <w:t>NR_RF_FR2_req_enh</w:t>
      </w:r>
    </w:p>
    <w:p w14:paraId="6C6D1281" w14:textId="6DA15670" w:rsidR="00104BC6" w:rsidRDefault="00104BC6" w:rsidP="00D309CC">
      <w:pPr>
        <w:pStyle w:val="CH"/>
        <w:rPr>
          <w:b w:val="0"/>
        </w:rPr>
      </w:pPr>
      <w:r>
        <w:t>Release:</w:t>
      </w:r>
      <w:r>
        <w:tab/>
      </w:r>
      <w:r w:rsidR="00752075" w:rsidRPr="00752075">
        <w:t>Rel-1</w:t>
      </w:r>
      <w:r w:rsidR="008B1DF7">
        <w:t>6</w:t>
      </w:r>
    </w:p>
    <w:p w14:paraId="2E4E044D" w14:textId="6B032CC3" w:rsidR="00D309CC" w:rsidRDefault="00D309CC" w:rsidP="00D309CC">
      <w:pPr>
        <w:pStyle w:val="CH"/>
      </w:pPr>
      <w:r>
        <w:t>Document for:</w:t>
      </w:r>
      <w:r>
        <w:tab/>
      </w:r>
      <w:r w:rsidR="008B1DF7">
        <w:t>Discussion</w:t>
      </w:r>
    </w:p>
    <w:p w14:paraId="0207DB43" w14:textId="77777777" w:rsidR="00D46431" w:rsidRPr="0008103A" w:rsidRDefault="00D46431" w:rsidP="00D309CC">
      <w:pPr>
        <w:pStyle w:val="CH"/>
        <w:rPr>
          <w:b w:val="0"/>
        </w:rPr>
      </w:pPr>
    </w:p>
    <w:p w14:paraId="0273524A" w14:textId="1B43B714" w:rsidR="008E7986" w:rsidRPr="004D3578" w:rsidRDefault="008E7986" w:rsidP="008E7986">
      <w:pPr>
        <w:pStyle w:val="Heading1"/>
      </w:pPr>
      <w:r>
        <w:t>1</w:t>
      </w:r>
      <w:r>
        <w:tab/>
      </w:r>
      <w:r w:rsidRPr="004D3578">
        <w:t>Introduction</w:t>
      </w:r>
    </w:p>
    <w:p w14:paraId="793B4A50" w14:textId="1B088A24" w:rsidR="002747FA" w:rsidRDefault="0083085A" w:rsidP="002747FA">
      <w:r>
        <w:t xml:space="preserve">The Rel-16 FR2 RF work item includes the following scope related to non-simultaneous transmission for intra-band non-contiguous UL CA in FR2 </w:t>
      </w:r>
      <w:r>
        <w:fldChar w:fldCharType="begin"/>
      </w:r>
      <w:r>
        <w:instrText xml:space="preserve"> REF _Ref16575941 \r \h </w:instrText>
      </w:r>
      <w:r>
        <w:fldChar w:fldCharType="separate"/>
      </w:r>
      <w:r w:rsidR="00E010B7">
        <w:t>[1]</w:t>
      </w:r>
      <w:r>
        <w:fldChar w:fldCharType="end"/>
      </w:r>
      <w:r>
        <w:t>:</w:t>
      </w:r>
    </w:p>
    <w:p w14:paraId="111005F7" w14:textId="6D1C5F26" w:rsidR="0083085A" w:rsidRPr="0083085A" w:rsidRDefault="0083085A" w:rsidP="0083085A">
      <w:pPr>
        <w:pStyle w:val="B1"/>
        <w:pBdr>
          <w:top w:val="single" w:sz="4" w:space="1" w:color="auto"/>
          <w:left w:val="single" w:sz="4" w:space="4" w:color="auto"/>
          <w:bottom w:val="single" w:sz="4" w:space="1" w:color="auto"/>
          <w:right w:val="single" w:sz="4" w:space="4" w:color="auto"/>
        </w:pBdr>
      </w:pPr>
      <w:r>
        <w:t>-</w:t>
      </w:r>
      <w:r>
        <w:tab/>
      </w:r>
      <w:r w:rsidRPr="0083085A">
        <w:t>Phase 1: Study if both simultaneous UE transmission on aggregated UL carriers and non-simultaneous transmission on aggregated UL carriers with UE switching between two non-contiguous carriers could and should be specified. Study potential impacts of non-simultaneous transmission on RAN1 and/or RAN2 specifications</w:t>
      </w:r>
    </w:p>
    <w:p w14:paraId="2EC18177" w14:textId="1DB9F950" w:rsidR="0083085A" w:rsidRPr="0083085A" w:rsidRDefault="0083085A" w:rsidP="0083085A">
      <w:pPr>
        <w:pStyle w:val="B1"/>
        <w:pBdr>
          <w:top w:val="single" w:sz="4" w:space="1" w:color="auto"/>
          <w:left w:val="single" w:sz="4" w:space="4" w:color="auto"/>
          <w:bottom w:val="single" w:sz="4" w:space="1" w:color="auto"/>
          <w:right w:val="single" w:sz="4" w:space="4" w:color="auto"/>
        </w:pBdr>
      </w:pPr>
      <w:r>
        <w:t>-</w:t>
      </w:r>
      <w:r>
        <w:tab/>
      </w:r>
      <w:r w:rsidRPr="0083085A">
        <w:t>Phase 2: Define FR2 UE requirements for non-contiguous intra-band UL CA based on the outcome of the Phase 1 study</w:t>
      </w:r>
    </w:p>
    <w:p w14:paraId="43D8621D" w14:textId="3369C2EA" w:rsidR="0083085A" w:rsidRPr="0083085A" w:rsidRDefault="004F2CBC" w:rsidP="0083085A">
      <w:pPr>
        <w:rPr>
          <w:lang w:val="en-US"/>
        </w:rPr>
      </w:pPr>
      <w:r>
        <w:rPr>
          <w:lang w:val="en-US"/>
        </w:rPr>
        <w:t xml:space="preserve">Non-simultaneous transmission for non-contiguous FR2 UL carriers was previously proposed in a separate work item </w:t>
      </w:r>
      <w:r>
        <w:rPr>
          <w:lang w:val="en-US"/>
        </w:rPr>
        <w:fldChar w:fldCharType="begin"/>
      </w:r>
      <w:r>
        <w:rPr>
          <w:lang w:val="en-US"/>
        </w:rPr>
        <w:instrText xml:space="preserve"> REF _Ref16578384 \r \h </w:instrText>
      </w:r>
      <w:r>
        <w:rPr>
          <w:lang w:val="en-US"/>
        </w:rPr>
      </w:r>
      <w:r>
        <w:rPr>
          <w:lang w:val="en-US"/>
        </w:rPr>
        <w:fldChar w:fldCharType="separate"/>
      </w:r>
      <w:r w:rsidR="00E010B7">
        <w:rPr>
          <w:lang w:val="en-US"/>
        </w:rPr>
        <w:t>[2]</w:t>
      </w:r>
      <w:r>
        <w:rPr>
          <w:lang w:val="en-US"/>
        </w:rPr>
        <w:fldChar w:fldCharType="end"/>
      </w:r>
      <w:r>
        <w:rPr>
          <w:lang w:val="en-US"/>
        </w:rPr>
        <w:t xml:space="preserve">, </w:t>
      </w:r>
      <w:r>
        <w:rPr>
          <w:lang w:val="en-US"/>
        </w:rPr>
        <w:fldChar w:fldCharType="begin"/>
      </w:r>
      <w:r>
        <w:rPr>
          <w:lang w:val="en-US"/>
        </w:rPr>
        <w:instrText xml:space="preserve"> REF _Ref16578386 \r \h </w:instrText>
      </w:r>
      <w:r>
        <w:rPr>
          <w:lang w:val="en-US"/>
        </w:rPr>
      </w:r>
      <w:r>
        <w:rPr>
          <w:lang w:val="en-US"/>
        </w:rPr>
        <w:fldChar w:fldCharType="separate"/>
      </w:r>
      <w:r w:rsidR="00E010B7">
        <w:rPr>
          <w:lang w:val="en-US"/>
        </w:rPr>
        <w:t>[3]</w:t>
      </w:r>
      <w:r>
        <w:rPr>
          <w:lang w:val="en-US"/>
        </w:rPr>
        <w:fldChar w:fldCharType="end"/>
      </w:r>
      <w:r>
        <w:rPr>
          <w:lang w:val="en-US"/>
        </w:rPr>
        <w:t xml:space="preserve">, which has since been merged into the Rel-16 FR2 RF work item </w:t>
      </w:r>
      <w:r>
        <w:rPr>
          <w:lang w:val="en-US"/>
        </w:rPr>
        <w:fldChar w:fldCharType="begin"/>
      </w:r>
      <w:r>
        <w:rPr>
          <w:lang w:val="en-US"/>
        </w:rPr>
        <w:instrText xml:space="preserve"> REF _Ref16575941 \r \h </w:instrText>
      </w:r>
      <w:r>
        <w:rPr>
          <w:lang w:val="en-US"/>
        </w:rPr>
      </w:r>
      <w:r>
        <w:rPr>
          <w:lang w:val="en-US"/>
        </w:rPr>
        <w:fldChar w:fldCharType="separate"/>
      </w:r>
      <w:r w:rsidR="00E010B7">
        <w:rPr>
          <w:lang w:val="en-US"/>
        </w:rPr>
        <w:t>[1]</w:t>
      </w:r>
      <w:r>
        <w:rPr>
          <w:lang w:val="en-US"/>
        </w:rPr>
        <w:fldChar w:fldCharType="end"/>
      </w:r>
      <w:r>
        <w:rPr>
          <w:lang w:val="en-US"/>
        </w:rPr>
        <w:t xml:space="preserve">.  </w:t>
      </w:r>
      <w:r w:rsidR="002D1B65">
        <w:rPr>
          <w:lang w:val="en-US"/>
        </w:rPr>
        <w:t>This contribution shares our views on the non-simultaneous transmission aspects and proposes a plan to conclude the related study phase.</w:t>
      </w:r>
    </w:p>
    <w:p w14:paraId="3A67921B" w14:textId="10D72052" w:rsidR="008E7986" w:rsidRDefault="008E7986" w:rsidP="008E7986">
      <w:pPr>
        <w:pStyle w:val="Heading1"/>
      </w:pPr>
      <w:r>
        <w:t>2</w:t>
      </w:r>
      <w:r>
        <w:tab/>
      </w:r>
      <w:r w:rsidR="00FB7CBD">
        <w:t>Discussion</w:t>
      </w:r>
    </w:p>
    <w:p w14:paraId="320B0B8D" w14:textId="268D81DE" w:rsidR="006955CE" w:rsidRPr="006955CE" w:rsidRDefault="006955CE" w:rsidP="006955CE">
      <w:pPr>
        <w:rPr>
          <w:rFonts w:eastAsia="SimSun"/>
          <w:lang w:eastAsia="ja-JP" w:bidi="hi-IN"/>
        </w:rPr>
      </w:pPr>
      <w:bookmarkStart w:id="1" w:name="_Toc16557494"/>
      <w:bookmarkStart w:id="2" w:name="_Toc16557789"/>
      <w:bookmarkStart w:id="3" w:name="_Toc16574060"/>
      <w:r w:rsidRPr="006955CE">
        <w:rPr>
          <w:rFonts w:eastAsia="SimSun"/>
          <w:lang w:eastAsia="ja-JP" w:bidi="hi-IN"/>
        </w:rPr>
        <w:t>The allocation of mmWave spectrum globally faces a significant challenge in terms of region-specific and nation-specific regulatory requirements to protect various uses of the spectrum, such as RADAR, astronomy, and satellite services.  The intersections of available mmWave spectrum across all or a subset of regional/national regulatory requirements result in non-contiguous frequency ranges and, consequently, are associated with complex emission requirements for optimal or aggregated usage of this spectrum in a radio access network.</w:t>
      </w:r>
    </w:p>
    <w:p w14:paraId="25D087E1" w14:textId="47137BD5" w:rsidR="006955CE" w:rsidRPr="006955CE" w:rsidRDefault="006955CE" w:rsidP="006955CE">
      <w:pPr>
        <w:rPr>
          <w:rFonts w:eastAsia="SimSun"/>
          <w:lang w:eastAsia="ja-JP" w:bidi="hi-IN"/>
        </w:rPr>
      </w:pPr>
      <w:r w:rsidRPr="006955CE">
        <w:rPr>
          <w:rFonts w:eastAsia="SimSun"/>
          <w:lang w:eastAsia="ja-JP" w:bidi="hi-IN"/>
        </w:rPr>
        <w:t>In the face of these challenges, the bidirectional consumption of bandwidth, as well as efficient resource allocation via component carrier (CC) activation/de-activation in a carrier aggregation (CA) mode of operation, has motivated the prodigious increase of CA combinations in the NR FR2 specification</w:t>
      </w:r>
      <w:r>
        <w:rPr>
          <w:rFonts w:eastAsia="SimSun"/>
          <w:lang w:eastAsia="ja-JP" w:bidi="hi-IN"/>
        </w:rPr>
        <w:t xml:space="preserve"> </w:t>
      </w:r>
      <w:r>
        <w:rPr>
          <w:rFonts w:eastAsia="SimSun"/>
          <w:lang w:eastAsia="ja-JP" w:bidi="hi-IN"/>
        </w:rPr>
        <w:fldChar w:fldCharType="begin"/>
      </w:r>
      <w:r>
        <w:rPr>
          <w:rFonts w:eastAsia="SimSun"/>
          <w:lang w:eastAsia="ja-JP" w:bidi="hi-IN"/>
        </w:rPr>
        <w:instrText xml:space="preserve"> REF _Ref16576366 \r \h </w:instrText>
      </w:r>
      <w:r>
        <w:rPr>
          <w:rFonts w:eastAsia="SimSun"/>
          <w:lang w:eastAsia="ja-JP" w:bidi="hi-IN"/>
        </w:rPr>
      </w:r>
      <w:r>
        <w:rPr>
          <w:rFonts w:eastAsia="SimSun"/>
          <w:lang w:eastAsia="ja-JP" w:bidi="hi-IN"/>
        </w:rPr>
        <w:fldChar w:fldCharType="separate"/>
      </w:r>
      <w:r w:rsidR="00E010B7">
        <w:rPr>
          <w:rFonts w:eastAsia="SimSun"/>
          <w:lang w:eastAsia="ja-JP" w:bidi="hi-IN"/>
        </w:rPr>
        <w:t>[4]</w:t>
      </w:r>
      <w:r>
        <w:rPr>
          <w:rFonts w:eastAsia="SimSun"/>
          <w:lang w:eastAsia="ja-JP" w:bidi="hi-IN"/>
        </w:rPr>
        <w:fldChar w:fldCharType="end"/>
      </w:r>
      <w:r w:rsidRPr="006955CE">
        <w:rPr>
          <w:rFonts w:eastAsia="SimSun"/>
          <w:lang w:eastAsia="ja-JP" w:bidi="hi-IN"/>
        </w:rPr>
        <w:t>.  As a clear example of the implementation challenges associated with FR2 CA operation, the Rel-15 FR2 UE RF specification has limited the scope of uplink CA to only intra-band contiguous scenarios with up to 800 MHz of aggregated bandwidth.</w:t>
      </w:r>
    </w:p>
    <w:p w14:paraId="4BF97F34" w14:textId="39FE5E27" w:rsidR="006955CE" w:rsidRPr="006955CE" w:rsidRDefault="006955CE" w:rsidP="003577CB">
      <w:pPr>
        <w:rPr>
          <w:rFonts w:eastAsia="SimSun"/>
          <w:lang w:eastAsia="ja-JP" w:bidi="hi-IN"/>
        </w:rPr>
      </w:pPr>
      <w:r w:rsidRPr="006955CE">
        <w:rPr>
          <w:rFonts w:eastAsia="SimSun"/>
          <w:lang w:eastAsia="ja-JP" w:bidi="hi-IN"/>
        </w:rPr>
        <w:t xml:space="preserve">In an effort to maintain the flexibility of CC activation/de-activation, while retaining feasible complexity of the UE implementation in terms of compliance with regulatory emission requirements, the </w:t>
      </w:r>
      <w:r w:rsidR="003577CB">
        <w:rPr>
          <w:rFonts w:eastAsia="SimSun"/>
          <w:lang w:eastAsia="ja-JP" w:bidi="hi-IN"/>
        </w:rPr>
        <w:t xml:space="preserve">Rel-16 NR RAT </w:t>
      </w:r>
      <w:r w:rsidRPr="006955CE">
        <w:rPr>
          <w:rFonts w:eastAsia="SimSun"/>
          <w:lang w:eastAsia="ja-JP" w:bidi="hi-IN"/>
        </w:rPr>
        <w:t xml:space="preserve">can be enhanced to support </w:t>
      </w:r>
      <w:r w:rsidR="003577CB">
        <w:rPr>
          <w:rFonts w:eastAsia="SimSun"/>
          <w:lang w:eastAsia="ja-JP" w:bidi="hi-IN"/>
        </w:rPr>
        <w:t xml:space="preserve">UEs with non-simultaneous uplink of non-contiguous carriers (NSU-NCC).  </w:t>
      </w:r>
      <w:r w:rsidRPr="006955CE">
        <w:rPr>
          <w:rFonts w:eastAsia="SimSun"/>
          <w:lang w:eastAsia="ja-JP" w:bidi="hi-IN"/>
        </w:rPr>
        <w:t>This allows the UE to utilize a transmit chain supporting a single carrier (or a limited number of contiguous carriers), to comply with emission requirements within a reasonable implementation complexity, and to maintain a feasible uplink link budget, such that:</w:t>
      </w:r>
    </w:p>
    <w:p w14:paraId="3D91DE22" w14:textId="63297E4C" w:rsidR="006955CE" w:rsidRPr="006955CE" w:rsidRDefault="006955CE" w:rsidP="006955CE">
      <w:pPr>
        <w:pStyle w:val="B1"/>
        <w:rPr>
          <w:rFonts w:eastAsia="SimSun"/>
          <w:lang w:eastAsia="ja-JP" w:bidi="hi-IN"/>
        </w:rPr>
      </w:pPr>
      <w:r w:rsidRPr="006955CE">
        <w:rPr>
          <w:rFonts w:eastAsia="SimSun"/>
          <w:lang w:eastAsia="ja-JP" w:bidi="hi-IN"/>
        </w:rPr>
        <w:t>-</w:t>
      </w:r>
      <w:r w:rsidRPr="006955CE">
        <w:rPr>
          <w:rFonts w:eastAsia="SimSun"/>
          <w:lang w:eastAsia="ja-JP" w:bidi="hi-IN"/>
        </w:rPr>
        <w:tab/>
      </w:r>
      <w:r w:rsidR="003577CB">
        <w:rPr>
          <w:rFonts w:eastAsia="SimSun"/>
          <w:lang w:eastAsia="ja-JP" w:bidi="hi-IN"/>
        </w:rPr>
        <w:t>An NSU-NCC capable UE configured with an intra-band non-contiguous UL CA</w:t>
      </w:r>
      <w:r w:rsidRPr="006955CE">
        <w:rPr>
          <w:rFonts w:eastAsia="SimSun"/>
          <w:lang w:eastAsia="ja-JP" w:bidi="hi-IN"/>
        </w:rPr>
        <w:t xml:space="preserve"> band combinations allows the network to use Layer-1 (L1) signaling to efficiently allocate UL resources across </w:t>
      </w:r>
      <w:r w:rsidR="003577CB">
        <w:rPr>
          <w:rFonts w:eastAsia="SimSun"/>
          <w:lang w:eastAsia="ja-JP" w:bidi="hi-IN"/>
        </w:rPr>
        <w:t xml:space="preserve">the </w:t>
      </w:r>
      <w:r w:rsidRPr="006955CE">
        <w:rPr>
          <w:rFonts w:eastAsia="SimSun"/>
          <w:lang w:eastAsia="ja-JP" w:bidi="hi-IN"/>
        </w:rPr>
        <w:t>non-contiguous spectrum; the alternatives to this approach are handover or cell re-selection RRC procedures, which pose significantly longer delays</w:t>
      </w:r>
    </w:p>
    <w:p w14:paraId="20039BF0" w14:textId="67DC91BB" w:rsidR="006955CE" w:rsidRPr="006955CE" w:rsidRDefault="006955CE" w:rsidP="006955CE">
      <w:pPr>
        <w:pStyle w:val="B1"/>
        <w:rPr>
          <w:rFonts w:eastAsia="SimSun"/>
          <w:lang w:eastAsia="ja-JP" w:bidi="hi-IN"/>
        </w:rPr>
      </w:pPr>
      <w:r w:rsidRPr="006955CE">
        <w:rPr>
          <w:rFonts w:eastAsia="SimSun"/>
          <w:lang w:eastAsia="ja-JP" w:bidi="hi-IN"/>
        </w:rPr>
        <w:t>-</w:t>
      </w:r>
      <w:r w:rsidRPr="006955CE">
        <w:rPr>
          <w:rFonts w:eastAsia="SimSun"/>
          <w:lang w:eastAsia="ja-JP" w:bidi="hi-IN"/>
        </w:rPr>
        <w:tab/>
        <w:t xml:space="preserve">Because UL resource allocation </w:t>
      </w:r>
      <w:r w:rsidR="003577CB">
        <w:rPr>
          <w:rFonts w:eastAsia="SimSun"/>
          <w:lang w:eastAsia="ja-JP" w:bidi="hi-IN"/>
        </w:rPr>
        <w:t>for NSU-NCC capable UEs</w:t>
      </w:r>
      <w:r w:rsidRPr="006955CE">
        <w:rPr>
          <w:rFonts w:eastAsia="SimSun"/>
          <w:lang w:eastAsia="ja-JP" w:bidi="hi-IN"/>
        </w:rPr>
        <w:t xml:space="preserve"> is restricted to one </w:t>
      </w:r>
      <w:r w:rsidR="003577CB">
        <w:rPr>
          <w:rFonts w:eastAsia="SimSun"/>
          <w:lang w:eastAsia="ja-JP" w:bidi="hi-IN"/>
        </w:rPr>
        <w:t>non-contiguous UL</w:t>
      </w:r>
      <w:r w:rsidRPr="006955CE">
        <w:rPr>
          <w:rFonts w:eastAsia="SimSun"/>
          <w:lang w:eastAsia="ja-JP" w:bidi="hi-IN"/>
        </w:rPr>
        <w:t xml:space="preserve"> carrier at any time, the RF architecture which supports a single FR2 Tx path can be reused to support such band combinations</w:t>
      </w:r>
    </w:p>
    <w:p w14:paraId="45821B02" w14:textId="2EC23201" w:rsidR="006955CE" w:rsidRPr="006955CE" w:rsidRDefault="006955CE" w:rsidP="003577CB">
      <w:pPr>
        <w:pStyle w:val="B1"/>
        <w:rPr>
          <w:rFonts w:eastAsia="SimSun"/>
          <w:lang w:eastAsia="ja-JP" w:bidi="hi-IN"/>
        </w:rPr>
      </w:pPr>
      <w:r w:rsidRPr="006955CE">
        <w:rPr>
          <w:rFonts w:eastAsia="SimSun"/>
          <w:lang w:eastAsia="ja-JP" w:bidi="hi-IN"/>
        </w:rPr>
        <w:lastRenderedPageBreak/>
        <w:t>-</w:t>
      </w:r>
      <w:r w:rsidRPr="006955CE">
        <w:rPr>
          <w:rFonts w:eastAsia="SimSun"/>
          <w:lang w:eastAsia="ja-JP" w:bidi="hi-IN"/>
        </w:rPr>
        <w:tab/>
      </w:r>
      <w:r w:rsidR="003577CB">
        <w:rPr>
          <w:rFonts w:eastAsia="SimSun"/>
          <w:lang w:eastAsia="ja-JP" w:bidi="hi-IN"/>
        </w:rPr>
        <w:t>NSU-NCC capable UEs enjoy</w:t>
      </w:r>
      <w:r w:rsidRPr="006955CE">
        <w:rPr>
          <w:rFonts w:eastAsia="SimSun"/>
          <w:lang w:eastAsia="ja-JP" w:bidi="hi-IN"/>
        </w:rPr>
        <w:t xml:space="preserve"> a performance benefit in such </w:t>
      </w:r>
      <w:r w:rsidR="003577CB">
        <w:rPr>
          <w:rFonts w:eastAsia="SimSun"/>
          <w:lang w:eastAsia="ja-JP" w:bidi="hi-IN"/>
        </w:rPr>
        <w:t>UL</w:t>
      </w:r>
      <w:r w:rsidRPr="006955CE">
        <w:rPr>
          <w:rFonts w:eastAsia="SimSun"/>
          <w:lang w:eastAsia="ja-JP" w:bidi="hi-IN"/>
        </w:rPr>
        <w:t xml:space="preserve"> band combinations over </w:t>
      </w:r>
      <w:r w:rsidR="003577CB">
        <w:rPr>
          <w:rFonts w:eastAsia="SimSun"/>
          <w:lang w:eastAsia="ja-JP" w:bidi="hi-IN"/>
        </w:rPr>
        <w:t xml:space="preserve">UEs which are allocated non-contiguous UL resources simultaneously </w:t>
      </w:r>
      <w:r w:rsidRPr="006955CE">
        <w:rPr>
          <w:rFonts w:eastAsia="SimSun"/>
          <w:lang w:eastAsia="ja-JP" w:bidi="hi-IN"/>
        </w:rPr>
        <w:t xml:space="preserve">in terms of </w:t>
      </w:r>
      <w:r w:rsidR="003577CB">
        <w:rPr>
          <w:rFonts w:eastAsia="SimSun"/>
          <w:lang w:eastAsia="ja-JP" w:bidi="hi-IN"/>
        </w:rPr>
        <w:t xml:space="preserve">the </w:t>
      </w:r>
      <w:r w:rsidRPr="006955CE">
        <w:rPr>
          <w:rFonts w:eastAsia="SimSun"/>
          <w:lang w:eastAsia="ja-JP" w:bidi="hi-IN"/>
        </w:rPr>
        <w:t xml:space="preserve">maximum power reduction (MPR) needed to meet regulatory emission limits:  </w:t>
      </w:r>
      <w:r w:rsidR="003577CB">
        <w:rPr>
          <w:rFonts w:eastAsia="SimSun"/>
          <w:lang w:eastAsia="ja-JP" w:bidi="hi-IN"/>
        </w:rPr>
        <w:t xml:space="preserve">NSU-NCC capable </w:t>
      </w:r>
      <w:r w:rsidRPr="006955CE">
        <w:rPr>
          <w:rFonts w:eastAsia="SimSun"/>
          <w:lang w:eastAsia="ja-JP" w:bidi="hi-IN"/>
        </w:rPr>
        <w:t xml:space="preserve">UEs only need to meet single-carrier emission requirements, while </w:t>
      </w:r>
      <w:r w:rsidR="003577CB">
        <w:rPr>
          <w:rFonts w:eastAsia="SimSun"/>
          <w:lang w:eastAsia="ja-JP" w:bidi="hi-IN"/>
        </w:rPr>
        <w:t xml:space="preserve">simultaneous non-contiguous </w:t>
      </w:r>
      <w:r w:rsidRPr="006955CE">
        <w:rPr>
          <w:rFonts w:eastAsia="SimSun"/>
          <w:lang w:eastAsia="ja-JP" w:bidi="hi-IN"/>
        </w:rPr>
        <w:t>UL CA operation involves additional (and significant) MPR, thereby reducing the available UL link budget</w:t>
      </w:r>
    </w:p>
    <w:p w14:paraId="267026B3" w14:textId="72621EBD" w:rsidR="006955CE" w:rsidRPr="006955CE" w:rsidRDefault="006955CE" w:rsidP="003577CB">
      <w:pPr>
        <w:pStyle w:val="B1"/>
        <w:rPr>
          <w:rFonts w:eastAsia="SimSun"/>
          <w:lang w:eastAsia="ja-JP" w:bidi="hi-IN"/>
        </w:rPr>
      </w:pPr>
      <w:r w:rsidRPr="006955CE">
        <w:rPr>
          <w:rFonts w:eastAsia="SimSun"/>
          <w:lang w:eastAsia="ja-JP" w:bidi="hi-IN"/>
        </w:rPr>
        <w:t>-</w:t>
      </w:r>
      <w:r w:rsidRPr="006955CE">
        <w:rPr>
          <w:rFonts w:eastAsia="SimSun"/>
          <w:lang w:eastAsia="ja-JP" w:bidi="hi-IN"/>
        </w:rPr>
        <w:tab/>
        <w:t xml:space="preserve">The availability of the DL CA configuration allows the network to rely on efficient RRM procedure at the UE side without any delays associated with DL carrier detection, synchronization, and SI reading. Thus, the </w:t>
      </w:r>
      <w:r w:rsidR="003577CB">
        <w:rPr>
          <w:rFonts w:eastAsia="SimSun"/>
          <w:lang w:eastAsia="ja-JP" w:bidi="hi-IN"/>
        </w:rPr>
        <w:t>NSU-NCC capable UE</w:t>
      </w:r>
      <w:r w:rsidRPr="006955CE">
        <w:rPr>
          <w:rFonts w:eastAsia="SimSun"/>
          <w:lang w:eastAsia="ja-JP" w:bidi="hi-IN"/>
        </w:rPr>
        <w:t xml:space="preserve"> can be ready to activate the needed </w:t>
      </w:r>
      <w:r w:rsidR="003577CB">
        <w:rPr>
          <w:rFonts w:eastAsia="SimSun"/>
          <w:lang w:eastAsia="ja-JP" w:bidi="hi-IN"/>
        </w:rPr>
        <w:t>UL</w:t>
      </w:r>
      <w:r w:rsidRPr="006955CE">
        <w:rPr>
          <w:rFonts w:eastAsia="SimSun"/>
          <w:lang w:eastAsia="ja-JP" w:bidi="hi-IN"/>
        </w:rPr>
        <w:t xml:space="preserve"> carrier in response to the appropriate DCI</w:t>
      </w:r>
      <w:r w:rsidR="003577CB">
        <w:rPr>
          <w:rFonts w:eastAsia="SimSun"/>
          <w:lang w:eastAsia="ja-JP" w:bidi="hi-IN"/>
        </w:rPr>
        <w:t>, RRC configuration, or timer trigger</w:t>
      </w:r>
    </w:p>
    <w:p w14:paraId="37895627" w14:textId="427CE41D" w:rsidR="006955CE" w:rsidRPr="006955CE" w:rsidRDefault="006955CE" w:rsidP="006955CE">
      <w:pPr>
        <w:rPr>
          <w:rFonts w:eastAsia="SimSun"/>
          <w:lang w:eastAsia="ja-JP" w:bidi="hi-IN"/>
        </w:rPr>
      </w:pPr>
      <w:r w:rsidRPr="006955CE">
        <w:rPr>
          <w:rFonts w:eastAsia="SimSun"/>
          <w:lang w:eastAsia="ja-JP" w:bidi="hi-IN"/>
        </w:rPr>
        <w:t xml:space="preserve">Figure 1 below illustrates an example scenario of </w:t>
      </w:r>
      <w:r w:rsidR="003577CB">
        <w:rPr>
          <w:rFonts w:eastAsia="SimSun"/>
          <w:lang w:eastAsia="ja-JP" w:bidi="hi-IN"/>
        </w:rPr>
        <w:t>non-simultaneous</w:t>
      </w:r>
      <w:r w:rsidRPr="006955CE">
        <w:rPr>
          <w:rFonts w:eastAsia="SimSun"/>
          <w:lang w:eastAsia="ja-JP" w:bidi="hi-IN"/>
        </w:rPr>
        <w:t xml:space="preserve"> uplink operation in FR2 (intra-band).</w:t>
      </w:r>
    </w:p>
    <w:p w14:paraId="2ABAE7B1" w14:textId="6F2F1632" w:rsidR="006955CE" w:rsidRDefault="00E01DAD" w:rsidP="008463E8">
      <w:pPr>
        <w:rPr>
          <w:rFonts w:eastAsia="SimSun"/>
          <w:lang w:eastAsia="ja-JP" w:bidi="hi-IN"/>
        </w:rPr>
      </w:pPr>
      <w:r w:rsidRPr="00E01DAD">
        <w:rPr>
          <w:rFonts w:eastAsia="SimSun"/>
          <w:noProof/>
          <w:lang w:eastAsia="ja-JP" w:bidi="hi-IN"/>
        </w:rPr>
        <w:drawing>
          <wp:inline distT="0" distB="0" distL="0" distR="0" wp14:anchorId="7C735DDE" wp14:editId="54963629">
            <wp:extent cx="6122035" cy="28187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818765"/>
                    </a:xfrm>
                    <a:prstGeom prst="rect">
                      <a:avLst/>
                    </a:prstGeom>
                  </pic:spPr>
                </pic:pic>
              </a:graphicData>
            </a:graphic>
          </wp:inline>
        </w:drawing>
      </w:r>
    </w:p>
    <w:p w14:paraId="53017002" w14:textId="1C95D80C" w:rsidR="00C85E1A" w:rsidRPr="004D3578" w:rsidRDefault="00C85E1A" w:rsidP="00C85E1A">
      <w:pPr>
        <w:pStyle w:val="TF"/>
      </w:pPr>
      <w:r w:rsidRPr="004D3578">
        <w:t xml:space="preserve">Figure 1: </w:t>
      </w:r>
      <w:r>
        <w:t>Example scenario of non-simultaneous uplink operation in FR2 (intra-band)</w:t>
      </w:r>
      <w:r w:rsidRPr="004D3578">
        <w:t xml:space="preserve"> </w:t>
      </w:r>
    </w:p>
    <w:p w14:paraId="4707147E" w14:textId="5E9370FC" w:rsidR="00A45552" w:rsidRDefault="00C85E1A" w:rsidP="00C85E1A">
      <w:pPr>
        <w:rPr>
          <w:rFonts w:eastAsia="SimSun"/>
          <w:lang w:eastAsia="ja-JP" w:bidi="hi-IN"/>
        </w:rPr>
      </w:pPr>
      <w:r>
        <w:rPr>
          <w:rFonts w:eastAsia="SimSun"/>
          <w:lang w:eastAsia="ja-JP" w:bidi="hi-IN"/>
        </w:rPr>
        <w:t xml:space="preserve">In order to facilitate the deactivation/activation of UL carriers, it is logical to reuse the BWP switching framework as much as </w:t>
      </w:r>
      <w:r w:rsidR="00E76CA9">
        <w:rPr>
          <w:rFonts w:eastAsia="SimSun"/>
          <w:lang w:eastAsia="ja-JP" w:bidi="hi-IN"/>
        </w:rPr>
        <w:t>possible.  Figure 2 below illustrates the simplified scenario in terms of BWP switching.</w:t>
      </w:r>
    </w:p>
    <w:p w14:paraId="59624C1C" w14:textId="18A3E80A" w:rsidR="00E76CA9" w:rsidRDefault="00E76CA9" w:rsidP="00E76CA9">
      <w:pPr>
        <w:jc w:val="center"/>
        <w:rPr>
          <w:rFonts w:eastAsia="SimSun"/>
          <w:lang w:eastAsia="ja-JP" w:bidi="hi-IN"/>
        </w:rPr>
      </w:pPr>
      <w:r w:rsidRPr="00E76CA9">
        <w:rPr>
          <w:rFonts w:eastAsia="SimSun"/>
          <w:noProof/>
          <w:lang w:eastAsia="ja-JP" w:bidi="hi-IN"/>
        </w:rPr>
        <w:drawing>
          <wp:inline distT="0" distB="0" distL="0" distR="0" wp14:anchorId="63098C7D" wp14:editId="5E6C31D5">
            <wp:extent cx="4572000" cy="18423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1842363"/>
                    </a:xfrm>
                    <a:prstGeom prst="rect">
                      <a:avLst/>
                    </a:prstGeom>
                  </pic:spPr>
                </pic:pic>
              </a:graphicData>
            </a:graphic>
          </wp:inline>
        </w:drawing>
      </w:r>
    </w:p>
    <w:p w14:paraId="3D1A07CA" w14:textId="401DE3DE" w:rsidR="00E76CA9" w:rsidRPr="004D3578" w:rsidRDefault="00E76CA9" w:rsidP="00E76CA9">
      <w:pPr>
        <w:pStyle w:val="TF"/>
      </w:pPr>
      <w:r w:rsidRPr="004D3578">
        <w:t xml:space="preserve">Figure </w:t>
      </w:r>
      <w:r>
        <w:t>2</w:t>
      </w:r>
      <w:r w:rsidRPr="004D3578">
        <w:t xml:space="preserve">: </w:t>
      </w:r>
      <w:r>
        <w:t>UL carrier switching scenario</w:t>
      </w:r>
      <w:r w:rsidRPr="004D3578">
        <w:t xml:space="preserve"> </w:t>
      </w:r>
    </w:p>
    <w:p w14:paraId="6B5FF171" w14:textId="10D0C106" w:rsidR="00A45552" w:rsidRDefault="00B05270" w:rsidP="00C85E1A">
      <w:pPr>
        <w:rPr>
          <w:rFonts w:eastAsia="SimSun"/>
          <w:lang w:eastAsia="ja-JP" w:bidi="hi-IN"/>
        </w:rPr>
      </w:pPr>
      <w:r>
        <w:rPr>
          <w:rFonts w:eastAsia="SimSun"/>
          <w:lang w:eastAsia="ja-JP" w:bidi="hi-IN"/>
        </w:rPr>
        <w:t xml:space="preserve">Thus, the NSU-NCC operation for intra-band non-contigous UL CA can be generalized to </w:t>
      </w:r>
      <w:r w:rsidR="00BF31B8">
        <w:rPr>
          <w:rFonts w:eastAsia="SimSun"/>
          <w:lang w:eastAsia="ja-JP" w:bidi="hi-IN"/>
        </w:rPr>
        <w:t>generic BWP switching scenarios with the following parameters</w:t>
      </w:r>
      <w:r>
        <w:rPr>
          <w:rFonts w:eastAsia="SimSun"/>
          <w:lang w:eastAsia="ja-JP" w:bidi="hi-IN"/>
        </w:rPr>
        <w:t>:</w:t>
      </w:r>
    </w:p>
    <w:p w14:paraId="562340BA" w14:textId="6DC0B200" w:rsidR="00BF31B8" w:rsidRDefault="00BF31B8" w:rsidP="00C85E1A">
      <w:pPr>
        <w:rPr>
          <w:rFonts w:eastAsia="SimSun"/>
          <w:lang w:eastAsia="ja-JP" w:bidi="hi-IN"/>
        </w:rPr>
      </w:pPr>
      <w:r w:rsidRPr="006955CE">
        <w:rPr>
          <w:rFonts w:eastAsia="SimSun"/>
          <w:lang w:eastAsia="ja-JP" w:bidi="hi-IN"/>
        </w:rPr>
        <w:t>-</w:t>
      </w:r>
      <w:r w:rsidRPr="006955CE">
        <w:rPr>
          <w:rFonts w:eastAsia="SimSun"/>
          <w:lang w:eastAsia="ja-JP" w:bidi="hi-IN"/>
        </w:rPr>
        <w:tab/>
      </w:r>
      <w:r>
        <w:rPr>
          <w:rFonts w:eastAsia="SimSun"/>
          <w:lang w:eastAsia="ja-JP" w:bidi="hi-IN"/>
        </w:rPr>
        <w:t>UL frequency separation class (I, II, or III); other frequency separation classes cannot yet be precluded</w:t>
      </w:r>
    </w:p>
    <w:p w14:paraId="1479AB1B" w14:textId="36DA2E28" w:rsidR="00BF31B8" w:rsidRDefault="00BF31B8" w:rsidP="00C85E1A">
      <w:pPr>
        <w:rPr>
          <w:rFonts w:eastAsia="SimSun"/>
          <w:lang w:eastAsia="ja-JP" w:bidi="hi-IN"/>
        </w:rPr>
      </w:pPr>
      <w:r>
        <w:rPr>
          <w:rFonts w:eastAsia="SimSun"/>
          <w:lang w:eastAsia="ja-JP" w:bidi="hi-IN"/>
        </w:rPr>
        <w:t>-</w:t>
      </w:r>
      <w:r>
        <w:rPr>
          <w:rFonts w:eastAsia="SimSun"/>
          <w:lang w:eastAsia="ja-JP" w:bidi="hi-IN"/>
        </w:rPr>
        <w:tab/>
        <w:t>The bandwidth of the activated BWP is or is not equal to the bandwidth of the deactivated BWP</w:t>
      </w:r>
    </w:p>
    <w:p w14:paraId="54E8E704" w14:textId="77A9007F" w:rsidR="00A45552" w:rsidRDefault="00BF31B8" w:rsidP="00C85E1A">
      <w:pPr>
        <w:rPr>
          <w:rFonts w:eastAsia="SimSun"/>
          <w:lang w:eastAsia="ja-JP" w:bidi="hi-IN"/>
        </w:rPr>
      </w:pPr>
      <w:r>
        <w:rPr>
          <w:rFonts w:eastAsia="SimSun"/>
          <w:lang w:eastAsia="ja-JP" w:bidi="hi-IN"/>
        </w:rPr>
        <w:t>-</w:t>
      </w:r>
      <w:r>
        <w:rPr>
          <w:rFonts w:eastAsia="SimSun"/>
          <w:lang w:eastAsia="ja-JP" w:bidi="hi-IN"/>
        </w:rPr>
        <w:tab/>
        <w:t>Whether the subcarrier spacing of the activated BWP should be the same as the deactivated BWP</w:t>
      </w:r>
    </w:p>
    <w:p w14:paraId="50A9D7C1" w14:textId="3990BBDE" w:rsidR="00BF31B8" w:rsidRPr="00B95542" w:rsidRDefault="00B95542" w:rsidP="008463E8">
      <w:pPr>
        <w:pStyle w:val="Observation"/>
      </w:pPr>
      <w:bookmarkStart w:id="4" w:name="_Toc16579257"/>
      <w:bookmarkStart w:id="5" w:name="_Toc16579273"/>
      <w:bookmarkStart w:id="6" w:name="_Toc16583343"/>
      <w:bookmarkStart w:id="7" w:name="_Toc16583369"/>
      <w:bookmarkStart w:id="8" w:name="_Toc16764353"/>
      <w:r>
        <w:lastRenderedPageBreak/>
        <w:t xml:space="preserve">Observation </w:t>
      </w:r>
      <w:r w:rsidR="008B1DF7">
        <w:t>1</w:t>
      </w:r>
      <w:r>
        <w:t>:</w:t>
      </w:r>
      <w:r>
        <w:tab/>
      </w:r>
      <w:bookmarkEnd w:id="1"/>
      <w:bookmarkEnd w:id="2"/>
      <w:r w:rsidR="00BF31B8">
        <w:t>Because NSU-NCC capable UEs will operate in the same network as simultaneous uplink capable UEs, the issue of different SCS for non-contiguous UL carriers should be discussed in the context of all UEs.  From this perspective, restricting non-contiguous intra-band UL carriers to operate with the same SCS is desired</w:t>
      </w:r>
      <w:r w:rsidR="008B1DF7">
        <w:t>.</w:t>
      </w:r>
      <w:bookmarkEnd w:id="3"/>
      <w:bookmarkEnd w:id="4"/>
      <w:bookmarkEnd w:id="5"/>
      <w:bookmarkEnd w:id="6"/>
      <w:bookmarkEnd w:id="7"/>
      <w:bookmarkEnd w:id="8"/>
    </w:p>
    <w:p w14:paraId="30C3FE82" w14:textId="04D86C13" w:rsidR="00E010B7" w:rsidRDefault="00E010B7" w:rsidP="00E010B7">
      <w:pPr>
        <w:pStyle w:val="Proposal"/>
      </w:pPr>
      <w:bookmarkStart w:id="9" w:name="_Toc16764355"/>
      <w:r>
        <w:t>Proposal 1:</w:t>
      </w:r>
      <w:r>
        <w:tab/>
      </w:r>
      <w:r>
        <w:t>Whether it is feasible to restrict intra-band UL CA (contiguous and non-contiguous) to operate with the same SCS should be discussed</w:t>
      </w:r>
      <w:r>
        <w:t>.</w:t>
      </w:r>
      <w:bookmarkEnd w:id="9"/>
    </w:p>
    <w:p w14:paraId="01ED594A" w14:textId="343001DB" w:rsidR="00435535" w:rsidRDefault="00F83F50" w:rsidP="00435535">
      <w:r>
        <w:t>Because a number of FR2 bands overlap, whether to treat some inter-band combinations as intra-band, for the purpose of deriving the UL carrier switching times, is useful to discuss.  Figure 3 below illustrates the FR2 bands in Rel-16.</w:t>
      </w:r>
    </w:p>
    <w:p w14:paraId="1B55896F" w14:textId="3B861614" w:rsidR="00F83F50" w:rsidRDefault="00F83F50" w:rsidP="00435535"/>
    <w:p w14:paraId="2209E44B" w14:textId="62406353" w:rsidR="00F83F50" w:rsidRDefault="00F83F50" w:rsidP="00F83F50">
      <w:pPr>
        <w:jc w:val="center"/>
      </w:pPr>
      <w:r w:rsidRPr="00F83F50">
        <w:rPr>
          <w:noProof/>
        </w:rPr>
        <w:drawing>
          <wp:inline distT="0" distB="0" distL="0" distR="0" wp14:anchorId="396113BB" wp14:editId="5C3EB8AF">
            <wp:extent cx="2832100" cy="2616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32100" cy="2616200"/>
                    </a:xfrm>
                    <a:prstGeom prst="rect">
                      <a:avLst/>
                    </a:prstGeom>
                  </pic:spPr>
                </pic:pic>
              </a:graphicData>
            </a:graphic>
          </wp:inline>
        </w:drawing>
      </w:r>
    </w:p>
    <w:p w14:paraId="2A67D760" w14:textId="7B28E622" w:rsidR="00F83F50" w:rsidRPr="004D3578" w:rsidRDefault="00F83F50" w:rsidP="00F83F50">
      <w:pPr>
        <w:pStyle w:val="TF"/>
      </w:pPr>
      <w:r w:rsidRPr="004D3578">
        <w:t xml:space="preserve">Figure </w:t>
      </w:r>
      <w:r>
        <w:t>3</w:t>
      </w:r>
      <w:r w:rsidRPr="004D3578">
        <w:t xml:space="preserve">: </w:t>
      </w:r>
      <w:r>
        <w:t>FR2 bands in Rel-16</w:t>
      </w:r>
      <w:r w:rsidRPr="004D3578">
        <w:t xml:space="preserve"> </w:t>
      </w:r>
    </w:p>
    <w:p w14:paraId="45E48431" w14:textId="7172E038" w:rsidR="00F83F50" w:rsidRDefault="00F83F50" w:rsidP="00F83F50">
      <w:pPr>
        <w:pStyle w:val="Observation"/>
      </w:pPr>
      <w:bookmarkStart w:id="10" w:name="_Toc16583344"/>
      <w:bookmarkStart w:id="11" w:name="_Toc16583370"/>
      <w:bookmarkStart w:id="12" w:name="_Toc16764354"/>
      <w:r>
        <w:t>Observation 2:</w:t>
      </w:r>
      <w:r>
        <w:tab/>
        <w:t>UL CA configurations with overlapping bands (e.g. n258+n257, n261+n257, n259+n260) may need to be treated as intra-band combinations for the purpose of UL carrier switching time derivation.</w:t>
      </w:r>
      <w:bookmarkEnd w:id="10"/>
      <w:bookmarkEnd w:id="11"/>
      <w:r w:rsidR="00714734">
        <w:t xml:space="preserve"> Whether this applies to all possible allocations or a subset (i.e. within a certain bandwidth separation class) should also be discussed.</w:t>
      </w:r>
      <w:bookmarkEnd w:id="12"/>
    </w:p>
    <w:p w14:paraId="33F451E5" w14:textId="68E71AC3" w:rsidR="001041E8" w:rsidRPr="00B95542" w:rsidRDefault="001041E8" w:rsidP="001041E8">
      <w:pPr>
        <w:pStyle w:val="Proposal"/>
      </w:pPr>
      <w:bookmarkStart w:id="13" w:name="_Toc16550842"/>
      <w:bookmarkStart w:id="14" w:name="_Toc16557495"/>
      <w:bookmarkStart w:id="15" w:name="_Toc16557790"/>
      <w:bookmarkStart w:id="16" w:name="_Toc16574061"/>
      <w:bookmarkStart w:id="17" w:name="_Toc16579258"/>
      <w:bookmarkStart w:id="18" w:name="_Toc16579274"/>
      <w:bookmarkStart w:id="19" w:name="_Toc16583345"/>
      <w:bookmarkStart w:id="20" w:name="_Toc16583371"/>
      <w:bookmarkStart w:id="21" w:name="_Toc16764356"/>
      <w:r>
        <w:t xml:space="preserve">Proposal </w:t>
      </w:r>
      <w:r w:rsidR="00E010B7">
        <w:t>2</w:t>
      </w:r>
      <w:r>
        <w:t>:</w:t>
      </w:r>
      <w:r>
        <w:tab/>
        <w:t>Com</w:t>
      </w:r>
      <w:bookmarkStart w:id="22" w:name="_GoBack"/>
      <w:bookmarkEnd w:id="22"/>
      <w:r>
        <w:t>panies are encouraged to provide input on UL carrier switching times (in terms of RF and BB) for the switching scenarios identified above.</w:t>
      </w:r>
      <w:bookmarkEnd w:id="13"/>
      <w:bookmarkEnd w:id="14"/>
      <w:bookmarkEnd w:id="15"/>
      <w:bookmarkEnd w:id="16"/>
      <w:bookmarkEnd w:id="17"/>
      <w:bookmarkEnd w:id="18"/>
      <w:bookmarkEnd w:id="19"/>
      <w:bookmarkEnd w:id="20"/>
      <w:bookmarkEnd w:id="21"/>
    </w:p>
    <w:p w14:paraId="34C99636" w14:textId="77777777" w:rsidR="008E7986" w:rsidRDefault="008E7986" w:rsidP="008E7986">
      <w:pPr>
        <w:pStyle w:val="Heading1"/>
      </w:pPr>
      <w:r>
        <w:t>3</w:t>
      </w:r>
      <w:r>
        <w:tab/>
        <w:t>Conclusions</w:t>
      </w:r>
    </w:p>
    <w:p w14:paraId="463B82DB" w14:textId="67BB42D5" w:rsidR="00E72ABE" w:rsidRDefault="009D0431" w:rsidP="00E72324">
      <w:r>
        <w:t xml:space="preserve">This contribution </w:t>
      </w:r>
      <w:r w:rsidR="00757980">
        <w:rPr>
          <w:lang w:val="en-US"/>
        </w:rPr>
        <w:t>shared our views on the non-simultaneous transmission aspects.</w:t>
      </w:r>
      <w:r w:rsidR="007414F1">
        <w:t xml:space="preserve">  The following observations and proposals have been made:</w:t>
      </w:r>
    </w:p>
    <w:p w14:paraId="17668B92" w14:textId="77777777" w:rsidR="00E010B7" w:rsidRDefault="00F62AEB">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E010B7">
        <w:rPr>
          <w:noProof/>
        </w:rPr>
        <w:t>Observation 1:</w:t>
      </w:r>
      <w:r w:rsidR="00E010B7">
        <w:rPr>
          <w:rFonts w:asciiTheme="minorHAnsi" w:eastAsiaTheme="minorEastAsia" w:hAnsiTheme="minorHAnsi" w:cstheme="minorBidi"/>
          <w:b w:val="0"/>
          <w:bCs w:val="0"/>
          <w:noProof/>
          <w:sz w:val="24"/>
          <w:szCs w:val="24"/>
          <w:lang w:val="en-US"/>
        </w:rPr>
        <w:tab/>
      </w:r>
      <w:r w:rsidR="00E010B7">
        <w:rPr>
          <w:noProof/>
        </w:rPr>
        <w:t>Because NSU-NCC capable UEs will operate in the same network as simultaneous uplink capable UEs, the issue of different SCS for non-contiguous UL carriers should be discussed in the context of all UEs.  From this perspective, restricting non-contiguous intra-band UL carriers to operate with the same SCS is desired.</w:t>
      </w:r>
    </w:p>
    <w:p w14:paraId="54051F34" w14:textId="77777777" w:rsidR="00E010B7" w:rsidRDefault="00E010B7">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UL CA configurations with overlapping bands (e.g. n258+n257, n261+n257, n259+n260) may need to be treated as intra-band combinations for the purpose of UL carrier switching time derivation. Whether this applies to all possible allocations or a subset (i.e. within a certain bandwidth separation class) should also be discussed.</w:t>
      </w:r>
    </w:p>
    <w:p w14:paraId="4FBB4955" w14:textId="59291063" w:rsidR="005973BE" w:rsidRDefault="00F62AEB" w:rsidP="00E72324">
      <w:r>
        <w:rPr>
          <w:rFonts w:asciiTheme="minorHAnsi" w:hAnsiTheme="minorHAnsi"/>
          <w:bCs/>
        </w:rPr>
        <w:fldChar w:fldCharType="end"/>
      </w:r>
    </w:p>
    <w:p w14:paraId="1FEFCF26" w14:textId="77777777" w:rsidR="00E010B7"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E010B7">
        <w:rPr>
          <w:noProof/>
        </w:rPr>
        <w:t>Proposal 1:</w:t>
      </w:r>
      <w:r w:rsidR="00E010B7">
        <w:rPr>
          <w:rFonts w:asciiTheme="minorHAnsi" w:eastAsiaTheme="minorEastAsia" w:hAnsiTheme="minorHAnsi" w:cstheme="minorBidi"/>
          <w:b w:val="0"/>
          <w:bCs w:val="0"/>
          <w:noProof/>
          <w:sz w:val="24"/>
          <w:szCs w:val="24"/>
          <w:lang w:val="en-US"/>
        </w:rPr>
        <w:tab/>
      </w:r>
      <w:r w:rsidR="00E010B7">
        <w:rPr>
          <w:noProof/>
        </w:rPr>
        <w:t>Whether it is feasible to restrict intra-band UL CA (contiguous and non-contiguous) to operate with the same SCS should be discussed.</w:t>
      </w:r>
    </w:p>
    <w:p w14:paraId="4DEA9715" w14:textId="77777777" w:rsidR="00E010B7" w:rsidRDefault="00E010B7">
      <w:pPr>
        <w:pStyle w:val="TOC1"/>
        <w:rPr>
          <w:rFonts w:asciiTheme="minorHAnsi" w:eastAsiaTheme="minorEastAsia" w:hAnsiTheme="minorHAnsi" w:cstheme="minorBidi"/>
          <w:b w:val="0"/>
          <w:bCs w:val="0"/>
          <w:noProof/>
          <w:sz w:val="24"/>
          <w:szCs w:val="24"/>
          <w:lang w:val="en-US"/>
        </w:rPr>
      </w:pPr>
      <w:r>
        <w:rPr>
          <w:noProof/>
        </w:rPr>
        <w:lastRenderedPageBreak/>
        <w:t>Proposal 2:</w:t>
      </w:r>
      <w:r>
        <w:rPr>
          <w:rFonts w:asciiTheme="minorHAnsi" w:eastAsiaTheme="minorEastAsia" w:hAnsiTheme="minorHAnsi" w:cstheme="minorBidi"/>
          <w:b w:val="0"/>
          <w:bCs w:val="0"/>
          <w:noProof/>
          <w:sz w:val="24"/>
          <w:szCs w:val="24"/>
          <w:lang w:val="en-US"/>
        </w:rPr>
        <w:tab/>
      </w:r>
      <w:r>
        <w:rPr>
          <w:noProof/>
        </w:rPr>
        <w:t>Companies are encouraged to provide input on UL carrier switching times (in terms of RF and BB) for the switching scenarios identified above.</w:t>
      </w:r>
    </w:p>
    <w:p w14:paraId="769CC3B8" w14:textId="44C3A077" w:rsidR="0062595A" w:rsidRDefault="0062595A" w:rsidP="00E72324">
      <w:r>
        <w:rPr>
          <w:b/>
          <w:bCs/>
        </w:rPr>
        <w:fldChar w:fldCharType="end"/>
      </w:r>
    </w:p>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p w14:paraId="277F1F6B" w14:textId="5E1303FD" w:rsidR="008E2E1C" w:rsidRDefault="008E2E1C" w:rsidP="00276EE4">
      <w:pPr>
        <w:pStyle w:val="EX"/>
      </w:pPr>
      <w:bookmarkStart w:id="23" w:name="_Ref16575941"/>
      <w:bookmarkStart w:id="24" w:name="_Ref16557425"/>
      <w:r w:rsidRPr="008E2E1C">
        <w:t>RP-190761</w:t>
      </w:r>
      <w:r>
        <w:t>, “</w:t>
      </w:r>
      <w:r w:rsidRPr="008E2E1C">
        <w:t>NR RF requirements for FR2</w:t>
      </w:r>
      <w:r>
        <w:t>”</w:t>
      </w:r>
      <w:bookmarkEnd w:id="23"/>
    </w:p>
    <w:p w14:paraId="6399B207" w14:textId="5B7C5FC1" w:rsidR="008E2E1C" w:rsidRDefault="008E2E1C" w:rsidP="00276EE4">
      <w:pPr>
        <w:pStyle w:val="EX"/>
      </w:pPr>
      <w:bookmarkStart w:id="25" w:name="_Ref16578384"/>
      <w:r w:rsidRPr="008E2E1C">
        <w:t>RP-190355</w:t>
      </w:r>
      <w:r>
        <w:t>, “</w:t>
      </w:r>
      <w:r w:rsidRPr="008E2E1C">
        <w:t>Motivation for the new WID on supplemental uplink usage of FR2 spectrum</w:t>
      </w:r>
      <w:r>
        <w:t>”</w:t>
      </w:r>
      <w:bookmarkEnd w:id="25"/>
    </w:p>
    <w:p w14:paraId="4E1C4FEF" w14:textId="61B93392" w:rsidR="008E2E1C" w:rsidRDefault="008E2E1C" w:rsidP="008E2E1C">
      <w:pPr>
        <w:pStyle w:val="EX"/>
      </w:pPr>
      <w:bookmarkStart w:id="26" w:name="_Ref16578386"/>
      <w:r w:rsidRPr="008E2E1C">
        <w:t>RP-190356</w:t>
      </w:r>
      <w:r>
        <w:t>, “</w:t>
      </w:r>
      <w:r w:rsidRPr="008E2E1C">
        <w:t>New WID on Supplemental uplink usage of FR2 spectrum</w:t>
      </w:r>
      <w:r>
        <w:t>”</w:t>
      </w:r>
      <w:bookmarkEnd w:id="26"/>
    </w:p>
    <w:p w14:paraId="68B92C51" w14:textId="293D647E" w:rsidR="008E2E1C" w:rsidRDefault="004B351C" w:rsidP="008E2E1C">
      <w:pPr>
        <w:pStyle w:val="EX"/>
      </w:pPr>
      <w:bookmarkStart w:id="27" w:name="_Ref16576366"/>
      <w:r w:rsidRPr="004B351C">
        <w:t>3GPP TS38.101-2, “NR; User Equipment (UE) radio transmission and reception; Part 2: Range 2 Standalone”</w:t>
      </w:r>
      <w:bookmarkEnd w:id="24"/>
      <w:bookmarkEnd w:id="27"/>
    </w:p>
    <w:bookmarkEnd w:id="0"/>
    <w:p w14:paraId="2C7BC95E" w14:textId="77777777" w:rsidR="00080512" w:rsidRDefault="00080512"/>
    <w:sectPr w:rsidR="00080512" w:rsidSect="00255AB7">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2AFAF" w14:textId="77777777" w:rsidR="00EB2F92" w:rsidRDefault="00EB2F92">
      <w:r>
        <w:separator/>
      </w:r>
    </w:p>
  </w:endnote>
  <w:endnote w:type="continuationSeparator" w:id="0">
    <w:p w14:paraId="74DA81A9" w14:textId="77777777" w:rsidR="00EB2F92" w:rsidRDefault="00EB2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6FCFE" w14:textId="2D67FBCB" w:rsidR="00255AB7" w:rsidRDefault="00255AB7">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2148B" w14:textId="77777777" w:rsidR="00EB2F92" w:rsidRDefault="00EB2F92">
      <w:r>
        <w:separator/>
      </w:r>
    </w:p>
  </w:footnote>
  <w:footnote w:type="continuationSeparator" w:id="0">
    <w:p w14:paraId="0F70A83B" w14:textId="77777777" w:rsidR="00EB2F92" w:rsidRDefault="00EB2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2F25"/>
    <w:rsid w:val="00075DE9"/>
    <w:rsid w:val="00080512"/>
    <w:rsid w:val="000A14A2"/>
    <w:rsid w:val="000A365D"/>
    <w:rsid w:val="000C47C3"/>
    <w:rsid w:val="000C5593"/>
    <w:rsid w:val="000D58AB"/>
    <w:rsid w:val="000F16B5"/>
    <w:rsid w:val="000F390E"/>
    <w:rsid w:val="001041E8"/>
    <w:rsid w:val="00104BC6"/>
    <w:rsid w:val="00133525"/>
    <w:rsid w:val="0019352A"/>
    <w:rsid w:val="001A4C42"/>
    <w:rsid w:val="001B7D07"/>
    <w:rsid w:val="001C21C3"/>
    <w:rsid w:val="001D02C2"/>
    <w:rsid w:val="001F0C1D"/>
    <w:rsid w:val="001F1132"/>
    <w:rsid w:val="001F168B"/>
    <w:rsid w:val="00211670"/>
    <w:rsid w:val="00232338"/>
    <w:rsid w:val="002347A2"/>
    <w:rsid w:val="00247926"/>
    <w:rsid w:val="00255AB7"/>
    <w:rsid w:val="002675F0"/>
    <w:rsid w:val="002747FA"/>
    <w:rsid w:val="00276EE4"/>
    <w:rsid w:val="002823DB"/>
    <w:rsid w:val="00284A66"/>
    <w:rsid w:val="002B33DF"/>
    <w:rsid w:val="002B6339"/>
    <w:rsid w:val="002D1B65"/>
    <w:rsid w:val="002E00EE"/>
    <w:rsid w:val="003172DC"/>
    <w:rsid w:val="0035462D"/>
    <w:rsid w:val="003577CB"/>
    <w:rsid w:val="0037102D"/>
    <w:rsid w:val="003765B8"/>
    <w:rsid w:val="003865BF"/>
    <w:rsid w:val="003A0483"/>
    <w:rsid w:val="003B329E"/>
    <w:rsid w:val="003C3971"/>
    <w:rsid w:val="003C564B"/>
    <w:rsid w:val="003E419B"/>
    <w:rsid w:val="003E7753"/>
    <w:rsid w:val="003F147E"/>
    <w:rsid w:val="00405996"/>
    <w:rsid w:val="00423334"/>
    <w:rsid w:val="004345EC"/>
    <w:rsid w:val="00435535"/>
    <w:rsid w:val="00460223"/>
    <w:rsid w:val="004826A9"/>
    <w:rsid w:val="004A27F2"/>
    <w:rsid w:val="004B351C"/>
    <w:rsid w:val="004C1601"/>
    <w:rsid w:val="004D3578"/>
    <w:rsid w:val="004E213A"/>
    <w:rsid w:val="004F0988"/>
    <w:rsid w:val="004F2CBC"/>
    <w:rsid w:val="004F3340"/>
    <w:rsid w:val="004F3E3D"/>
    <w:rsid w:val="00507DB0"/>
    <w:rsid w:val="0053388B"/>
    <w:rsid w:val="00535773"/>
    <w:rsid w:val="00543E6C"/>
    <w:rsid w:val="0056309F"/>
    <w:rsid w:val="00565087"/>
    <w:rsid w:val="00572E14"/>
    <w:rsid w:val="005973BE"/>
    <w:rsid w:val="005A340D"/>
    <w:rsid w:val="005A5986"/>
    <w:rsid w:val="005C1A40"/>
    <w:rsid w:val="005C3436"/>
    <w:rsid w:val="005C4267"/>
    <w:rsid w:val="005D2E01"/>
    <w:rsid w:val="005D5E24"/>
    <w:rsid w:val="005D7526"/>
    <w:rsid w:val="005E69AE"/>
    <w:rsid w:val="00602AEA"/>
    <w:rsid w:val="00607E3C"/>
    <w:rsid w:val="00610775"/>
    <w:rsid w:val="00614FDF"/>
    <w:rsid w:val="00622097"/>
    <w:rsid w:val="006246A7"/>
    <w:rsid w:val="0062595A"/>
    <w:rsid w:val="00626A6B"/>
    <w:rsid w:val="0063543D"/>
    <w:rsid w:val="00647114"/>
    <w:rsid w:val="00650832"/>
    <w:rsid w:val="006955CE"/>
    <w:rsid w:val="006A2DE2"/>
    <w:rsid w:val="006A323F"/>
    <w:rsid w:val="006B30D0"/>
    <w:rsid w:val="006C3D95"/>
    <w:rsid w:val="006E5C86"/>
    <w:rsid w:val="0070730A"/>
    <w:rsid w:val="00713C44"/>
    <w:rsid w:val="00714734"/>
    <w:rsid w:val="0073058F"/>
    <w:rsid w:val="00734A5B"/>
    <w:rsid w:val="0074026F"/>
    <w:rsid w:val="007414F1"/>
    <w:rsid w:val="007429F6"/>
    <w:rsid w:val="00744E76"/>
    <w:rsid w:val="00752075"/>
    <w:rsid w:val="00752198"/>
    <w:rsid w:val="00753881"/>
    <w:rsid w:val="00757980"/>
    <w:rsid w:val="00774DA4"/>
    <w:rsid w:val="00781F0F"/>
    <w:rsid w:val="0078318F"/>
    <w:rsid w:val="007B600E"/>
    <w:rsid w:val="007F0F4A"/>
    <w:rsid w:val="008028A4"/>
    <w:rsid w:val="00820B25"/>
    <w:rsid w:val="00830747"/>
    <w:rsid w:val="0083085A"/>
    <w:rsid w:val="008463E8"/>
    <w:rsid w:val="00855C2A"/>
    <w:rsid w:val="00857852"/>
    <w:rsid w:val="008768CA"/>
    <w:rsid w:val="008B1DF7"/>
    <w:rsid w:val="008C384C"/>
    <w:rsid w:val="008D6D91"/>
    <w:rsid w:val="008E2E1C"/>
    <w:rsid w:val="008E4697"/>
    <w:rsid w:val="008E7986"/>
    <w:rsid w:val="0090271F"/>
    <w:rsid w:val="00902E23"/>
    <w:rsid w:val="009114D7"/>
    <w:rsid w:val="0091348E"/>
    <w:rsid w:val="00917CCB"/>
    <w:rsid w:val="009319B2"/>
    <w:rsid w:val="00942EC2"/>
    <w:rsid w:val="009465C7"/>
    <w:rsid w:val="009C25EF"/>
    <w:rsid w:val="009D0431"/>
    <w:rsid w:val="009F37B7"/>
    <w:rsid w:val="009F5E43"/>
    <w:rsid w:val="00A01E38"/>
    <w:rsid w:val="00A10F02"/>
    <w:rsid w:val="00A1325F"/>
    <w:rsid w:val="00A164B4"/>
    <w:rsid w:val="00A20743"/>
    <w:rsid w:val="00A21269"/>
    <w:rsid w:val="00A26956"/>
    <w:rsid w:val="00A45552"/>
    <w:rsid w:val="00A53724"/>
    <w:rsid w:val="00A73129"/>
    <w:rsid w:val="00A82346"/>
    <w:rsid w:val="00A92BA1"/>
    <w:rsid w:val="00AC6BC6"/>
    <w:rsid w:val="00AE3797"/>
    <w:rsid w:val="00B05270"/>
    <w:rsid w:val="00B067DA"/>
    <w:rsid w:val="00B15449"/>
    <w:rsid w:val="00B93086"/>
    <w:rsid w:val="00B95542"/>
    <w:rsid w:val="00BA19ED"/>
    <w:rsid w:val="00BA300B"/>
    <w:rsid w:val="00BA4B8D"/>
    <w:rsid w:val="00BB0705"/>
    <w:rsid w:val="00BC0F7D"/>
    <w:rsid w:val="00BD134C"/>
    <w:rsid w:val="00BE3255"/>
    <w:rsid w:val="00BF128E"/>
    <w:rsid w:val="00BF31B8"/>
    <w:rsid w:val="00C02552"/>
    <w:rsid w:val="00C1496A"/>
    <w:rsid w:val="00C33079"/>
    <w:rsid w:val="00C45231"/>
    <w:rsid w:val="00C63803"/>
    <w:rsid w:val="00C72833"/>
    <w:rsid w:val="00C80F1D"/>
    <w:rsid w:val="00C85E1A"/>
    <w:rsid w:val="00C93F40"/>
    <w:rsid w:val="00CA3D0C"/>
    <w:rsid w:val="00CA62F9"/>
    <w:rsid w:val="00CC46EF"/>
    <w:rsid w:val="00CE2768"/>
    <w:rsid w:val="00CF20E3"/>
    <w:rsid w:val="00D309CC"/>
    <w:rsid w:val="00D31083"/>
    <w:rsid w:val="00D46431"/>
    <w:rsid w:val="00D56A52"/>
    <w:rsid w:val="00D57972"/>
    <w:rsid w:val="00D641A4"/>
    <w:rsid w:val="00D675A9"/>
    <w:rsid w:val="00D738D6"/>
    <w:rsid w:val="00D749D2"/>
    <w:rsid w:val="00D755EB"/>
    <w:rsid w:val="00D87E00"/>
    <w:rsid w:val="00D9134D"/>
    <w:rsid w:val="00DA2311"/>
    <w:rsid w:val="00DA7A03"/>
    <w:rsid w:val="00DB1818"/>
    <w:rsid w:val="00DC309B"/>
    <w:rsid w:val="00DC4DA2"/>
    <w:rsid w:val="00DD4C17"/>
    <w:rsid w:val="00DF2B1F"/>
    <w:rsid w:val="00DF6189"/>
    <w:rsid w:val="00DF62CD"/>
    <w:rsid w:val="00E010B7"/>
    <w:rsid w:val="00E01DAD"/>
    <w:rsid w:val="00E067CE"/>
    <w:rsid w:val="00E16509"/>
    <w:rsid w:val="00E44582"/>
    <w:rsid w:val="00E47A74"/>
    <w:rsid w:val="00E50039"/>
    <w:rsid w:val="00E51B12"/>
    <w:rsid w:val="00E52814"/>
    <w:rsid w:val="00E72324"/>
    <w:rsid w:val="00E72ABE"/>
    <w:rsid w:val="00E76CA9"/>
    <w:rsid w:val="00E77645"/>
    <w:rsid w:val="00E80C3E"/>
    <w:rsid w:val="00E93157"/>
    <w:rsid w:val="00EB2F92"/>
    <w:rsid w:val="00EB342C"/>
    <w:rsid w:val="00EC4A25"/>
    <w:rsid w:val="00EE5AA7"/>
    <w:rsid w:val="00F025A2"/>
    <w:rsid w:val="00F04712"/>
    <w:rsid w:val="00F21311"/>
    <w:rsid w:val="00F22EC7"/>
    <w:rsid w:val="00F325C8"/>
    <w:rsid w:val="00F41375"/>
    <w:rsid w:val="00F532F5"/>
    <w:rsid w:val="00F62AEB"/>
    <w:rsid w:val="00F653B8"/>
    <w:rsid w:val="00F70647"/>
    <w:rsid w:val="00F714EE"/>
    <w:rsid w:val="00F83F50"/>
    <w:rsid w:val="00FA1266"/>
    <w:rsid w:val="00FB109C"/>
    <w:rsid w:val="00FB7CBD"/>
    <w:rsid w:val="00FC1192"/>
    <w:rsid w:val="00FD0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styleId="PlaceholderText">
    <w:name w:val="Placeholder Text"/>
    <w:basedOn w:val="DefaultParagraphFont"/>
    <w:uiPriority w:val="99"/>
    <w:semiHidden/>
    <w:rsid w:val="00626A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1E270-71A8-5A45-9464-B4682AA7A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211</TotalTime>
  <Pages>5</Pages>
  <Words>1196</Words>
  <Characters>6820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69</cp:revision>
  <cp:lastPrinted>2019-02-25T14:05:00Z</cp:lastPrinted>
  <dcterms:created xsi:type="dcterms:W3CDTF">2019-08-12T08:11:00Z</dcterms:created>
  <dcterms:modified xsi:type="dcterms:W3CDTF">2019-08-15T19:25:00Z</dcterms:modified>
  <cp:category/>
</cp:coreProperties>
</file>